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437E31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535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8F9CD79" w:rsidR="002F726A" w:rsidRPr="002F726A" w:rsidRDefault="00142AAB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Krajowej Sieci Kardiologicznej</w:t>
            </w:r>
            <w:r w:rsid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(system KSK)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4FF6AA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535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F7BF169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535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1830BB1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535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4F4EC882" w14:textId="77777777" w:rsidR="002A3611" w:rsidRDefault="00142AAB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ramach systemu </w:t>
            </w:r>
            <w:r w:rsid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KSK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prowadzona będzie elektroniczna Karta Opieki Kardiologicznej (</w:t>
            </w:r>
            <w:r w:rsid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karta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e-KOK</w:t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tj. - </w:t>
            </w:r>
            <w:r w:rsidR="002A3611"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elektroniczną kartę diagnostyki i leczenia kardiologicznego, którą prowadzi się w celu usystematyzowania oraz udokumentowania ciągłości opieki kardiologicznej przy wykorzystaniu systemu teleinformatycznego o którym mowa pkt 18, oraz zapewnienie monitorowania jakości opieki kardiologicznej w ramach Krajowej Sieci Kardiologicznej</w:t>
            </w:r>
            <w:r w:rsid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(art. 2 pkt. 5 projektowanej ustawy)</w:t>
            </w:r>
            <w:r w:rsidR="002A3611"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432BB1FD" w14:textId="52E2511E" w:rsidR="002F726A" w:rsidRDefault="002A3611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Zgodnie z art. 37 ust 2 projektowanej ustawy d</w:t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ane zawarte w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arcie e-KOK wygenerowanej w systemie KSK mogą być przetwarzane przez świadczeniodawcę udzielającego świadczeniobiorcy świadczeń diagnostyki lub leczenia kardiologicznego w celu monitorowania stanu zdrowia świadczeniobiorcy lub zapewnienia ciągłości opieki kardiologicznej.</w:t>
            </w:r>
          </w:p>
          <w:p w14:paraId="67DE4B43" w14:textId="77777777" w:rsidR="002A3611" w:rsidRDefault="002A3611" w:rsidP="002A361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51518CF9" w14:textId="1265D663" w:rsidR="002A3611" w:rsidRPr="002A3611" w:rsidRDefault="002A3611" w:rsidP="002A361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Karta e-KOK zawiera: </w:t>
            </w:r>
          </w:p>
          <w:p w14:paraId="409A0ADE" w14:textId="77777777" w:rsidR="002A3611" w:rsidRPr="002A3611" w:rsidRDefault="002A3611" w:rsidP="002A3611">
            <w:pPr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oznaczenie świadczeniobiorcy pozwalające na ustalenie jego tożsamości:</w:t>
            </w:r>
          </w:p>
          <w:p w14:paraId="709FBB64" w14:textId="77777777" w:rsidR="002A3611" w:rsidRPr="002A3611" w:rsidRDefault="002A3611" w:rsidP="002A3611">
            <w:pPr>
              <w:numPr>
                <w:ilvl w:val="0"/>
                <w:numId w:val="4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imię (imiona) i nazwisko, </w:t>
            </w:r>
          </w:p>
          <w:p w14:paraId="3AE4D5E0" w14:textId="77777777" w:rsidR="002A3611" w:rsidRPr="002A3611" w:rsidRDefault="002A3611" w:rsidP="002A3611">
            <w:pPr>
              <w:numPr>
                <w:ilvl w:val="0"/>
                <w:numId w:val="4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adres miejsca zamieszkania (ulica, numer domu i lokalu, kod pocztowy, miejscowość),</w:t>
            </w:r>
          </w:p>
          <w:p w14:paraId="77EDD79A" w14:textId="1F1D0D23" w:rsidR="002A3611" w:rsidRPr="002A3611" w:rsidRDefault="002A3611" w:rsidP="002A3611">
            <w:pPr>
              <w:numPr>
                <w:ilvl w:val="0"/>
                <w:numId w:val="4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 PESEL, jeżeli został nadany, a w przypadku osób, które nie mają nadanego numeru PESEL – rodzaj i numer dokumentu potwierdzającego tożsamość, </w:t>
            </w:r>
          </w:p>
          <w:p w14:paraId="7A7517FE" w14:textId="32C7109B" w:rsidR="002A3611" w:rsidRPr="002A3611" w:rsidRDefault="002A3611" w:rsidP="002A3611">
            <w:pPr>
              <w:numPr>
                <w:ilvl w:val="0"/>
                <w:numId w:val="4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przypadku gdy świadczeniobiorcą jest osoba całkowicie</w:t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ubezwłasnowolniona lub niezdolna do świadomego wyrażenia zgody – imię (imiona) i nazwisko przedstawiciela ustawowego albo opiekuna faktycznego </w:t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w rozumieniu art.</w:t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3 ust. 1 pkt 1 ustawy z dnia 6 listopada 2008 r. o prawach pacjenta i Rzeczniku Praw Pacjenta, oraz adres jego miejsca zamieszkania, </w:t>
            </w:r>
          </w:p>
          <w:p w14:paraId="79265E96" w14:textId="77777777" w:rsidR="002A3611" w:rsidRPr="002A3611" w:rsidRDefault="002A3611" w:rsidP="002A3611">
            <w:pPr>
              <w:numPr>
                <w:ilvl w:val="0"/>
                <w:numId w:val="4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 telefonu, jeżeli posiada, </w:t>
            </w:r>
          </w:p>
          <w:p w14:paraId="4D11BC6A" w14:textId="722C0DDF" w:rsidR="002A3611" w:rsidRPr="002A3611" w:rsidRDefault="002A3611" w:rsidP="002A3611">
            <w:pPr>
              <w:pStyle w:val="Akapitzlist"/>
              <w:numPr>
                <w:ilvl w:val="0"/>
                <w:numId w:val="3"/>
              </w:numPr>
              <w:rPr>
                <w:b w:val="0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oznaczenie świadczeniodawcy, w tym imię i nazwisko lekarza, który udzielił świadczeń opieki zdrowotnej</w:t>
            </w:r>
            <w:r w:rsidRPr="002A3611">
              <w:rPr>
                <w:b w:val="0"/>
                <w:highlight w:val="none"/>
                <w:lang w:eastAsia="en-US"/>
              </w:rPr>
              <w:t xml:space="preserve"> oraz </w:t>
            </w:r>
            <w:r w:rsidRPr="002A3611">
              <w:rPr>
                <w:b w:val="0"/>
                <w:highlight w:val="none"/>
                <w:lang w:eastAsia="en-US"/>
              </w:rPr>
              <w:t xml:space="preserve">nazwę podmiotu udzielającego świadczeń i adres miejsca udzielania świadczeń; </w:t>
            </w:r>
          </w:p>
          <w:p w14:paraId="3C760BDE" w14:textId="77777777" w:rsidR="002A3611" w:rsidRPr="002A3611" w:rsidRDefault="002A3611" w:rsidP="002A3611">
            <w:pPr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lekarza biorącego udział w ustaleniu planu leczenia kardiologicznego:</w:t>
            </w:r>
          </w:p>
          <w:p w14:paraId="17B229EE" w14:textId="77777777" w:rsidR="002A3611" w:rsidRPr="002A3611" w:rsidRDefault="002A3611" w:rsidP="002A3611">
            <w:pPr>
              <w:numPr>
                <w:ilvl w:val="0"/>
                <w:numId w:val="5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imię i nazwisko, </w:t>
            </w:r>
          </w:p>
          <w:p w14:paraId="28FF409E" w14:textId="77777777" w:rsidR="002A3611" w:rsidRPr="002A3611" w:rsidRDefault="002A3611" w:rsidP="002A3611">
            <w:pPr>
              <w:numPr>
                <w:ilvl w:val="0"/>
                <w:numId w:val="5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 prawa wykonywania zawodu; </w:t>
            </w:r>
          </w:p>
          <w:p w14:paraId="635EA6DE" w14:textId="77777777" w:rsidR="002A3611" w:rsidRPr="002A3611" w:rsidRDefault="002A3611" w:rsidP="002A3611">
            <w:pPr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koordynatora opieki kardiologicznej:</w:t>
            </w:r>
          </w:p>
          <w:p w14:paraId="413478B3" w14:textId="77777777" w:rsidR="002A3611" w:rsidRPr="002A3611" w:rsidRDefault="002A3611" w:rsidP="002A3611">
            <w:pPr>
              <w:numPr>
                <w:ilvl w:val="0"/>
                <w:numId w:val="6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imię i nazwisko, </w:t>
            </w:r>
          </w:p>
          <w:p w14:paraId="15075401" w14:textId="77777777" w:rsidR="002A3611" w:rsidRPr="002A3611" w:rsidRDefault="002A3611" w:rsidP="002A3611">
            <w:pPr>
              <w:numPr>
                <w:ilvl w:val="0"/>
                <w:numId w:val="6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telefonu służbowego,</w:t>
            </w:r>
          </w:p>
          <w:p w14:paraId="552E7032" w14:textId="77777777" w:rsidR="002A3611" w:rsidRPr="002A3611" w:rsidRDefault="002A3611" w:rsidP="002A3611">
            <w:pPr>
              <w:numPr>
                <w:ilvl w:val="0"/>
                <w:numId w:val="6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adres służbowej poczty elektronicznej; </w:t>
            </w:r>
          </w:p>
          <w:p w14:paraId="71931317" w14:textId="77777777" w:rsidR="002A3611" w:rsidRPr="002A3611" w:rsidRDefault="002A3611" w:rsidP="002A3611">
            <w:pPr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inne dane niż określone w pkt 1–5: </w:t>
            </w:r>
          </w:p>
          <w:p w14:paraId="32504CE5" w14:textId="77777777" w:rsidR="002A3611" w:rsidRPr="002A3611" w:rsidRDefault="002A3611" w:rsidP="002A3611">
            <w:pPr>
              <w:numPr>
                <w:ilvl w:val="0"/>
                <w:numId w:val="7"/>
              </w:numPr>
              <w:spacing w:before="60"/>
              <w:ind w:left="201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datę wygenerowania Karty e-KOK,</w:t>
            </w:r>
          </w:p>
          <w:p w14:paraId="4DA2CAA0" w14:textId="77777777" w:rsidR="002A3611" w:rsidRPr="002A3611" w:rsidRDefault="002A3611" w:rsidP="002A3611">
            <w:pPr>
              <w:numPr>
                <w:ilvl w:val="0"/>
                <w:numId w:val="7"/>
              </w:numPr>
              <w:spacing w:before="60"/>
              <w:ind w:left="201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skierowaniu do podmiotów leczniczych wchodzących w skład KSK,</w:t>
            </w:r>
          </w:p>
          <w:p w14:paraId="7944495E" w14:textId="77777777" w:rsidR="002A3611" w:rsidRPr="002A3611" w:rsidRDefault="002A3611" w:rsidP="002A3611">
            <w:pPr>
              <w:numPr>
                <w:ilvl w:val="0"/>
                <w:numId w:val="7"/>
              </w:numPr>
              <w:spacing w:before="60"/>
              <w:ind w:left="201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dotyczące diagnostyki kardiologicznej,</w:t>
            </w:r>
          </w:p>
          <w:p w14:paraId="4BBF94E8" w14:textId="77777777" w:rsidR="002A3611" w:rsidRPr="002A3611" w:rsidRDefault="002A3611" w:rsidP="002A3611">
            <w:pPr>
              <w:numPr>
                <w:ilvl w:val="0"/>
                <w:numId w:val="7"/>
              </w:numPr>
              <w:spacing w:before="60"/>
              <w:ind w:left="201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rozpoznanie,</w:t>
            </w:r>
          </w:p>
          <w:p w14:paraId="0FC06891" w14:textId="77777777" w:rsidR="002A3611" w:rsidRPr="002A3611" w:rsidRDefault="002A3611" w:rsidP="002A3611">
            <w:pPr>
              <w:numPr>
                <w:ilvl w:val="0"/>
                <w:numId w:val="7"/>
              </w:numPr>
              <w:spacing w:before="60"/>
              <w:ind w:left="201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do wyliczeń wskaźników jakości opieki kardiologicznej,</w:t>
            </w:r>
          </w:p>
          <w:p w14:paraId="637845CF" w14:textId="77777777" w:rsidR="002A3611" w:rsidRPr="002A3611" w:rsidRDefault="002A3611" w:rsidP="002A3611">
            <w:pPr>
              <w:numPr>
                <w:ilvl w:val="0"/>
                <w:numId w:val="7"/>
              </w:numPr>
              <w:spacing w:before="60"/>
              <w:ind w:left="201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dotyczące planu leczenia kardiologicznego,</w:t>
            </w:r>
          </w:p>
          <w:p w14:paraId="181B0CD0" w14:textId="77777777" w:rsidR="002A3611" w:rsidRPr="002A3611" w:rsidRDefault="002A3611" w:rsidP="002A3611">
            <w:pPr>
              <w:numPr>
                <w:ilvl w:val="0"/>
                <w:numId w:val="7"/>
              </w:numPr>
              <w:spacing w:before="60"/>
              <w:ind w:left="201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dotyczące leczenia kardiologicznego, </w:t>
            </w:r>
          </w:p>
          <w:p w14:paraId="60C74FA4" w14:textId="77777777" w:rsidR="002A3611" w:rsidRPr="002A3611" w:rsidRDefault="002A3611" w:rsidP="002A3611">
            <w:pPr>
              <w:numPr>
                <w:ilvl w:val="0"/>
                <w:numId w:val="7"/>
              </w:numPr>
              <w:spacing w:before="60"/>
              <w:ind w:left="201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unikalny numer identyfikujący Kartę e-KOK, który może być wykorzystany tylko raz.</w:t>
            </w:r>
          </w:p>
          <w:p w14:paraId="65CDFE88" w14:textId="18F6D5B3" w:rsidR="002A3611" w:rsidRPr="002F726A" w:rsidRDefault="00E709B1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Zgodnie z art. 37 ust. 4 projektowanej ustawy </w:t>
            </w:r>
            <w:r w:rsidRPr="00E709B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minister właściwy do spraw zdrowia określi, w drodze rozporządzenia, zakres informacji gromadzonych w ramach Karty e-KOK, mając na celu prawidłową koordynację procesu leczenia, monitorowanie jakości opieki kardiologicznej oraz zapewnienie właściwego przepływu informacji dotyczących realizacji diagnostyki kardiologicznej lub leczenia kardiologicznego.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Przedmiotowe rozporządzenie zostanie przekazane do konsultacji publicznych, opiniowania i uzgodnień. 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5BC6D1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535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6BDAA538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27671C02" w14:textId="77777777" w:rsidR="002A3611" w:rsidRPr="002A3611" w:rsidRDefault="002A3611" w:rsidP="002A3611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Jak wskazano wyżej. </w:t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Projektowana regulacja będzie stanowiła podstawę do udostępniania danych podmiotom zakwalifikowanych na dany poziom zabezpieczenia opieki kardiologicznej w zakresie danych:</w:t>
            </w:r>
          </w:p>
          <w:p w14:paraId="39AA4E5F" w14:textId="64BD0988" w:rsidR="002A3611" w:rsidRPr="002A3611" w:rsidRDefault="002A3611" w:rsidP="002A361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świadczeniobiorcy;</w:t>
            </w:r>
          </w:p>
          <w:p w14:paraId="558D5D97" w14:textId="480C53BE" w:rsidR="002A3611" w:rsidRPr="002A3611" w:rsidRDefault="002A3611" w:rsidP="002A361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świadczeniodawcy, w tym imię i nazwisko lekarza, który udzielił świadczeń opieki zdrowotnej;</w:t>
            </w:r>
          </w:p>
          <w:p w14:paraId="2B4C43D9" w14:textId="33E65E3C" w:rsidR="002A3611" w:rsidRPr="002A3611" w:rsidRDefault="002A3611" w:rsidP="002A361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koordynatora opieki kardiologicznej.</w:t>
            </w:r>
          </w:p>
          <w:p w14:paraId="2092C246" w14:textId="77777777" w:rsidR="002A3611" w:rsidRDefault="002A3611" w:rsidP="002A3611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Ponad to, w projekt ustawy przewiduje udostępnienie danych Narodowemu Instytutowi Kardiologii – Państwowy Instytut Badawczy oraz Narodowemu Funduszowi Zdrowia w zakresie bieżącej weryfikacji poprawności i rzetelności prowadzenia dokumentacji w zakresie diagnostyki </w:t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i leczenia kardiologicznego w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Pr="002A361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arcie e-KOK, z uwzględnieniem realizowanych planów opieki kardiologicznej.</w:t>
            </w:r>
          </w:p>
          <w:p w14:paraId="117D71EF" w14:textId="77777777" w:rsidR="002A3611" w:rsidRDefault="002A3611" w:rsidP="002A3611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09CE857A" w14:textId="7F5606D6" w:rsidR="002A3611" w:rsidRPr="002F726A" w:rsidRDefault="002A3611" w:rsidP="002A3611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Przepisy określające zakres udostępnianych i przetwarzania danych: art. 4 ust 2, art. 20, art. 39 ust. 2. 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01ACF2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A36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5A1DA132" w14:textId="77777777" w:rsidR="002A3611" w:rsidRPr="002F726A" w:rsidRDefault="002A3611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7EB4B215" w14:textId="744E8FAE" w:rsidR="002F726A" w:rsidRPr="002F726A" w:rsidRDefault="002A3611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709B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Jak wskazano powyżej. System </w:t>
            </w:r>
            <w:r w:rsidR="00E709B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KSK</w:t>
            </w:r>
            <w:r w:rsidRPr="00E709B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stanowić będzie moduł SIM umożliwiający generowanie raportów o poziomie jakości opieki kardiologicznej w ramach Krajowej Sieci Kardiologicznej, o której mowa w art. 3 ust. </w:t>
            </w:r>
            <w:r w:rsidR="00E709B1" w:rsidRPr="00E709B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 projektowanej ustawy. Ponadto, projektowane przepisy mają na celu umożliwić przetwarzanie danych w systemie RUM – NFZ, dotyczące usługobiorcy objętego opieką kardiologiczną w rozumieniu art. 2 pkt 12 projektowanej ustawy.</w:t>
            </w:r>
            <w:r w:rsidR="00E709B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759EB2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535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4C4162A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535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358A16ED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2AA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60100C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2AA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64E9D"/>
    <w:multiLevelType w:val="hybridMultilevel"/>
    <w:tmpl w:val="2938C3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2C33E6"/>
    <w:multiLevelType w:val="hybridMultilevel"/>
    <w:tmpl w:val="9C501E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BC7A1F"/>
    <w:multiLevelType w:val="hybridMultilevel"/>
    <w:tmpl w:val="91747C3A"/>
    <w:lvl w:ilvl="0" w:tplc="04150017">
      <w:start w:val="1"/>
      <w:numFmt w:val="lowerLetter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5" w15:restartNumberingAfterBreak="0">
    <w:nsid w:val="57F64BA2"/>
    <w:multiLevelType w:val="hybridMultilevel"/>
    <w:tmpl w:val="BA4EB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66A60"/>
    <w:multiLevelType w:val="hybridMultilevel"/>
    <w:tmpl w:val="5F7CB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C43259"/>
    <w:multiLevelType w:val="hybridMultilevel"/>
    <w:tmpl w:val="88A4A194"/>
    <w:lvl w:ilvl="0" w:tplc="04150017">
      <w:start w:val="1"/>
      <w:numFmt w:val="lowerLetter"/>
      <w:lvlText w:val="%1)"/>
      <w:lvlJc w:val="left"/>
      <w:pPr>
        <w:ind w:left="2219" w:hanging="360"/>
      </w:pPr>
    </w:lvl>
    <w:lvl w:ilvl="1" w:tplc="04150019" w:tentative="1">
      <w:start w:val="1"/>
      <w:numFmt w:val="lowerLetter"/>
      <w:lvlText w:val="%2."/>
      <w:lvlJc w:val="left"/>
      <w:pPr>
        <w:ind w:left="2939" w:hanging="360"/>
      </w:pPr>
    </w:lvl>
    <w:lvl w:ilvl="2" w:tplc="0415001B" w:tentative="1">
      <w:start w:val="1"/>
      <w:numFmt w:val="lowerRoman"/>
      <w:lvlText w:val="%3."/>
      <w:lvlJc w:val="right"/>
      <w:pPr>
        <w:ind w:left="3659" w:hanging="180"/>
      </w:pPr>
    </w:lvl>
    <w:lvl w:ilvl="3" w:tplc="0415000F" w:tentative="1">
      <w:start w:val="1"/>
      <w:numFmt w:val="decimal"/>
      <w:lvlText w:val="%4."/>
      <w:lvlJc w:val="left"/>
      <w:pPr>
        <w:ind w:left="4379" w:hanging="360"/>
      </w:pPr>
    </w:lvl>
    <w:lvl w:ilvl="4" w:tplc="04150019" w:tentative="1">
      <w:start w:val="1"/>
      <w:numFmt w:val="lowerLetter"/>
      <w:lvlText w:val="%5."/>
      <w:lvlJc w:val="left"/>
      <w:pPr>
        <w:ind w:left="5099" w:hanging="360"/>
      </w:pPr>
    </w:lvl>
    <w:lvl w:ilvl="5" w:tplc="0415001B" w:tentative="1">
      <w:start w:val="1"/>
      <w:numFmt w:val="lowerRoman"/>
      <w:lvlText w:val="%6."/>
      <w:lvlJc w:val="right"/>
      <w:pPr>
        <w:ind w:left="5819" w:hanging="180"/>
      </w:pPr>
    </w:lvl>
    <w:lvl w:ilvl="6" w:tplc="0415000F" w:tentative="1">
      <w:start w:val="1"/>
      <w:numFmt w:val="decimal"/>
      <w:lvlText w:val="%7."/>
      <w:lvlJc w:val="left"/>
      <w:pPr>
        <w:ind w:left="6539" w:hanging="360"/>
      </w:pPr>
    </w:lvl>
    <w:lvl w:ilvl="7" w:tplc="04150019" w:tentative="1">
      <w:start w:val="1"/>
      <w:numFmt w:val="lowerLetter"/>
      <w:lvlText w:val="%8."/>
      <w:lvlJc w:val="left"/>
      <w:pPr>
        <w:ind w:left="7259" w:hanging="360"/>
      </w:pPr>
    </w:lvl>
    <w:lvl w:ilvl="8" w:tplc="0415001B" w:tentative="1">
      <w:start w:val="1"/>
      <w:numFmt w:val="lowerRoman"/>
      <w:lvlText w:val="%9."/>
      <w:lvlJc w:val="right"/>
      <w:pPr>
        <w:ind w:left="7979" w:hanging="180"/>
      </w:pPr>
    </w:lvl>
  </w:abstractNum>
  <w:num w:numId="1" w16cid:durableId="336808139">
    <w:abstractNumId w:val="2"/>
  </w:num>
  <w:num w:numId="2" w16cid:durableId="1394353481">
    <w:abstractNumId w:val="1"/>
  </w:num>
  <w:num w:numId="3" w16cid:durableId="1531452505">
    <w:abstractNumId w:val="3"/>
  </w:num>
  <w:num w:numId="4" w16cid:durableId="746197080">
    <w:abstractNumId w:val="4"/>
  </w:num>
  <w:num w:numId="5" w16cid:durableId="236401262">
    <w:abstractNumId w:val="7"/>
  </w:num>
  <w:num w:numId="6" w16cid:durableId="1012950062">
    <w:abstractNumId w:val="0"/>
  </w:num>
  <w:num w:numId="7" w16cid:durableId="1403526254">
    <w:abstractNumId w:val="5"/>
  </w:num>
  <w:num w:numId="8" w16cid:durableId="13156423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053E1"/>
    <w:rsid w:val="00142AAB"/>
    <w:rsid w:val="002347F4"/>
    <w:rsid w:val="00237E0A"/>
    <w:rsid w:val="00247169"/>
    <w:rsid w:val="00270AC5"/>
    <w:rsid w:val="002715A6"/>
    <w:rsid w:val="002A3611"/>
    <w:rsid w:val="002C0105"/>
    <w:rsid w:val="002F726A"/>
    <w:rsid w:val="00380173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D5352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2251E"/>
    <w:rsid w:val="00D56C69"/>
    <w:rsid w:val="00E709B1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A3611"/>
    <w:pPr>
      <w:ind w:left="720"/>
      <w:contextualSpacing/>
    </w:pPr>
  </w:style>
  <w:style w:type="paragraph" w:styleId="Poprawka">
    <w:name w:val="Revision"/>
    <w:hidden/>
    <w:uiPriority w:val="99"/>
    <w:semiHidden/>
    <w:rsid w:val="00D2251E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Rynek Agata</cp:lastModifiedBy>
  <cp:revision>5</cp:revision>
  <dcterms:created xsi:type="dcterms:W3CDTF">2024-11-20T08:58:00Z</dcterms:created>
  <dcterms:modified xsi:type="dcterms:W3CDTF">2024-11-21T12:29:00Z</dcterms:modified>
</cp:coreProperties>
</file>